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6F" w:rsidRPr="00C82580" w:rsidRDefault="00786DF4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 </w:t>
      </w:r>
      <w:r w:rsidR="00EE6B6F" w:rsidRPr="00C825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366AEB8" wp14:editId="15498AB5">
            <wp:extent cx="1895707" cy="548890"/>
            <wp:effectExtent l="0" t="0" r="0" b="3810"/>
            <wp:docPr id="1" name="Obraz 1" descr="Marek Kuchci&amp;nacute;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ek Kuchci&amp;nacute;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12" cy="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C7" w:rsidRPr="00C82580">
        <w:rPr>
          <w:rFonts w:ascii="Times New Roman" w:hAnsi="Times New Roman" w:cs="Times New Roman"/>
          <w:sz w:val="24"/>
          <w:szCs w:val="24"/>
        </w:rPr>
        <w:tab/>
      </w:r>
      <w:r w:rsidR="00F654C7" w:rsidRPr="00C82580">
        <w:rPr>
          <w:rFonts w:ascii="Times New Roman" w:hAnsi="Times New Roman" w:cs="Times New Roman"/>
          <w:sz w:val="24"/>
          <w:szCs w:val="24"/>
        </w:rPr>
        <w:tab/>
      </w:r>
      <w:r w:rsidR="00F654C7" w:rsidRPr="00C82580">
        <w:rPr>
          <w:rFonts w:ascii="Times New Roman" w:hAnsi="Times New Roman" w:cs="Times New Roman"/>
          <w:sz w:val="24"/>
          <w:szCs w:val="24"/>
        </w:rPr>
        <w:tab/>
      </w:r>
      <w:r w:rsidR="00760C54" w:rsidRPr="00C82580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21CDE" w:rsidRPr="00C82580">
        <w:rPr>
          <w:rFonts w:ascii="Times New Roman" w:hAnsi="Times New Roman" w:cs="Times New Roman"/>
          <w:sz w:val="24"/>
          <w:szCs w:val="24"/>
        </w:rPr>
        <w:t>02 października 2017 r.</w:t>
      </w:r>
    </w:p>
    <w:p w:rsidR="00EE6B6F" w:rsidRPr="00C82580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Biuro Interwencji i Porad PIS</w:t>
      </w:r>
    </w:p>
    <w:p w:rsidR="00EE6B6F" w:rsidRPr="00C82580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przy Biurze Poselskim</w:t>
      </w:r>
    </w:p>
    <w:p w:rsidR="00EE6B6F" w:rsidRPr="00C82580" w:rsidRDefault="00EE6B6F" w:rsidP="009812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"/>
        </w:rPr>
      </w:pPr>
      <w:r w:rsidRPr="00C82580">
        <w:rPr>
          <w:rFonts w:ascii="Times New Roman" w:hAnsi="Times New Roman" w:cs="Times New Roman"/>
          <w:sz w:val="24"/>
          <w:szCs w:val="24"/>
        </w:rPr>
        <w:t>Marszałka Sejmu Marka Kuchcińskiego</w:t>
      </w:r>
    </w:p>
    <w:p w:rsidR="00EE6B6F" w:rsidRPr="00C82580" w:rsidRDefault="00EE6B6F" w:rsidP="009812F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6B6F" w:rsidRPr="00C82580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C82580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SPRAWOZDANIE Z UDZIELANIA PORAD PRAWNYCH W OKRESIE</w:t>
      </w:r>
    </w:p>
    <w:p w:rsidR="00EE6B6F" w:rsidRPr="00C82580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FE4DF0" w:rsidRPr="00C82580">
        <w:rPr>
          <w:rFonts w:ascii="Times New Roman" w:hAnsi="Times New Roman" w:cs="Times New Roman"/>
          <w:b/>
          <w:sz w:val="24"/>
          <w:szCs w:val="24"/>
        </w:rPr>
        <w:t>01.</w:t>
      </w:r>
      <w:r w:rsidR="00A21CDE" w:rsidRPr="00C82580">
        <w:rPr>
          <w:rFonts w:ascii="Times New Roman" w:hAnsi="Times New Roman" w:cs="Times New Roman"/>
          <w:b/>
          <w:sz w:val="24"/>
          <w:szCs w:val="24"/>
        </w:rPr>
        <w:t>09.2017-30.09.2017</w:t>
      </w:r>
    </w:p>
    <w:p w:rsidR="00EE6B6F" w:rsidRPr="00C82580" w:rsidRDefault="00EE6B6F" w:rsidP="009812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6B6F" w:rsidRPr="00C82580" w:rsidRDefault="00EE6B6F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Biuro Interwencji i Porad PIS w Przemyślu przy Biurze Poselskim Marszałka Sejmu Marka Kuchcińskiego w Przemyślu w okresie od </w:t>
      </w:r>
      <w:r w:rsidR="00FE4DF0" w:rsidRPr="00C82580">
        <w:rPr>
          <w:rFonts w:ascii="Times New Roman" w:hAnsi="Times New Roman" w:cs="Times New Roman"/>
          <w:sz w:val="24"/>
          <w:szCs w:val="24"/>
        </w:rPr>
        <w:t>01.</w:t>
      </w:r>
      <w:r w:rsidR="00A21CDE" w:rsidRPr="00C82580">
        <w:rPr>
          <w:rFonts w:ascii="Times New Roman" w:hAnsi="Times New Roman" w:cs="Times New Roman"/>
          <w:sz w:val="24"/>
          <w:szCs w:val="24"/>
        </w:rPr>
        <w:t>09.2017</w:t>
      </w:r>
      <w:r w:rsidR="00FE4DF0" w:rsidRPr="00C82580">
        <w:rPr>
          <w:rFonts w:ascii="Times New Roman" w:hAnsi="Times New Roman" w:cs="Times New Roman"/>
          <w:sz w:val="24"/>
          <w:szCs w:val="24"/>
        </w:rPr>
        <w:t xml:space="preserve"> r. do </w:t>
      </w:r>
      <w:r w:rsidR="00750268" w:rsidRPr="00C82580">
        <w:rPr>
          <w:rFonts w:ascii="Times New Roman" w:hAnsi="Times New Roman" w:cs="Times New Roman"/>
          <w:sz w:val="24"/>
          <w:szCs w:val="24"/>
        </w:rPr>
        <w:t>3</w:t>
      </w:r>
      <w:r w:rsidR="00BC7ADF" w:rsidRPr="00C82580">
        <w:rPr>
          <w:rFonts w:ascii="Times New Roman" w:hAnsi="Times New Roman" w:cs="Times New Roman"/>
          <w:sz w:val="24"/>
          <w:szCs w:val="24"/>
        </w:rPr>
        <w:t>0</w:t>
      </w:r>
      <w:r w:rsidR="00750268" w:rsidRPr="00C82580">
        <w:rPr>
          <w:rFonts w:ascii="Times New Roman" w:hAnsi="Times New Roman" w:cs="Times New Roman"/>
          <w:sz w:val="24"/>
          <w:szCs w:val="24"/>
        </w:rPr>
        <w:t>.</w:t>
      </w:r>
      <w:r w:rsidR="00A21CDE" w:rsidRPr="00C82580">
        <w:rPr>
          <w:rFonts w:ascii="Times New Roman" w:hAnsi="Times New Roman" w:cs="Times New Roman"/>
          <w:sz w:val="24"/>
          <w:szCs w:val="24"/>
        </w:rPr>
        <w:t>09</w:t>
      </w:r>
      <w:r w:rsidR="00FE4DF0" w:rsidRPr="00C82580">
        <w:rPr>
          <w:rFonts w:ascii="Times New Roman" w:hAnsi="Times New Roman" w:cs="Times New Roman"/>
          <w:sz w:val="24"/>
          <w:szCs w:val="24"/>
        </w:rPr>
        <w:t>.201</w:t>
      </w:r>
      <w:r w:rsidR="00A21CDE" w:rsidRPr="00C82580">
        <w:rPr>
          <w:rFonts w:ascii="Times New Roman" w:hAnsi="Times New Roman" w:cs="Times New Roman"/>
          <w:sz w:val="24"/>
          <w:szCs w:val="24"/>
        </w:rPr>
        <w:t>7</w:t>
      </w:r>
      <w:r w:rsidR="00FE4DF0" w:rsidRPr="00C82580">
        <w:rPr>
          <w:rFonts w:ascii="Times New Roman" w:hAnsi="Times New Roman" w:cs="Times New Roman"/>
          <w:sz w:val="24"/>
          <w:szCs w:val="24"/>
        </w:rPr>
        <w:t xml:space="preserve"> r. </w:t>
      </w:r>
      <w:r w:rsidRPr="00C82580">
        <w:rPr>
          <w:rFonts w:ascii="Times New Roman" w:hAnsi="Times New Roman" w:cs="Times New Roman"/>
          <w:sz w:val="24"/>
          <w:szCs w:val="24"/>
        </w:rPr>
        <w:t>udzielało porad prawnych dotyczących spraw związanych z poniższą tematyką:</w:t>
      </w:r>
    </w:p>
    <w:p w:rsidR="00EE6B6F" w:rsidRPr="00C82580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ogólnego zakresu prawa </w:t>
      </w:r>
      <w:r w:rsidR="00EE6B6F" w:rsidRPr="00C82580">
        <w:rPr>
          <w:rFonts w:ascii="Times New Roman" w:hAnsi="Times New Roman" w:cs="Times New Roman"/>
          <w:sz w:val="24"/>
          <w:szCs w:val="24"/>
        </w:rPr>
        <w:t>cywilnego</w:t>
      </w:r>
      <w:r w:rsidR="00E80CB9" w:rsidRPr="00C82580">
        <w:rPr>
          <w:rFonts w:ascii="Times New Roman" w:hAnsi="Times New Roman" w:cs="Times New Roman"/>
          <w:sz w:val="24"/>
          <w:szCs w:val="24"/>
        </w:rPr>
        <w:t>;</w:t>
      </w:r>
    </w:p>
    <w:p w:rsidR="008808B6" w:rsidRPr="00C82580" w:rsidRDefault="008808B6" w:rsidP="008808B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prawa karnego i wykroczeniowego;</w:t>
      </w:r>
    </w:p>
    <w:p w:rsidR="00760C54" w:rsidRPr="00C82580" w:rsidRDefault="00760C54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prawa rodzinnego</w:t>
      </w:r>
      <w:r w:rsidR="00E80CB9" w:rsidRPr="00C82580">
        <w:rPr>
          <w:rFonts w:ascii="Times New Roman" w:hAnsi="Times New Roman" w:cs="Times New Roman"/>
          <w:sz w:val="24"/>
          <w:szCs w:val="24"/>
        </w:rPr>
        <w:t>;</w:t>
      </w:r>
    </w:p>
    <w:p w:rsidR="00EE6B6F" w:rsidRPr="00C82580" w:rsidRDefault="00FA05D7" w:rsidP="009812F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prawa </w:t>
      </w:r>
      <w:r w:rsidR="00EE6B6F" w:rsidRPr="00C82580">
        <w:rPr>
          <w:rFonts w:ascii="Times New Roman" w:hAnsi="Times New Roman" w:cs="Times New Roman"/>
          <w:sz w:val="24"/>
          <w:szCs w:val="24"/>
        </w:rPr>
        <w:t>administracyjnego</w:t>
      </w:r>
      <w:r w:rsidR="00E80CB9" w:rsidRPr="00C82580">
        <w:rPr>
          <w:rFonts w:ascii="Times New Roman" w:hAnsi="Times New Roman" w:cs="Times New Roman"/>
          <w:sz w:val="24"/>
          <w:szCs w:val="24"/>
        </w:rPr>
        <w:t>;</w:t>
      </w:r>
    </w:p>
    <w:p w:rsidR="00EB6E22" w:rsidRPr="00C82580" w:rsidRDefault="00760C54" w:rsidP="00EB6E2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prawa </w:t>
      </w:r>
      <w:r w:rsidR="00EB6E22" w:rsidRPr="00C82580">
        <w:rPr>
          <w:rFonts w:ascii="Times New Roman" w:hAnsi="Times New Roman" w:cs="Times New Roman"/>
          <w:sz w:val="24"/>
          <w:szCs w:val="24"/>
        </w:rPr>
        <w:t>pracy i ubezpieczeń społecznych;</w:t>
      </w:r>
    </w:p>
    <w:p w:rsidR="00760C54" w:rsidRPr="00C82580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C82580" w:rsidRDefault="00760C54" w:rsidP="00981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Z uwzględnieniem powyższych punktów porady dotyczyły: </w:t>
      </w:r>
    </w:p>
    <w:p w:rsidR="00760C54" w:rsidRPr="00C82580" w:rsidRDefault="00760C54" w:rsidP="009812F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4DF0" w:rsidRPr="00C82580" w:rsidRDefault="00FE4DF0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C54" w:rsidRPr="00C82580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BE1015" w:rsidRPr="00C82580">
        <w:rPr>
          <w:rFonts w:ascii="Times New Roman" w:hAnsi="Times New Roman" w:cs="Times New Roman"/>
          <w:b/>
          <w:sz w:val="24"/>
          <w:szCs w:val="24"/>
        </w:rPr>
        <w:t>1</w:t>
      </w:r>
      <w:r w:rsidRPr="00C82580">
        <w:rPr>
          <w:rFonts w:ascii="Times New Roman" w:hAnsi="Times New Roman" w:cs="Times New Roman"/>
          <w:b/>
          <w:sz w:val="24"/>
          <w:szCs w:val="24"/>
        </w:rPr>
        <w:t>. Z zakresu ogólnego prawa cywilnego: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wezwania do zapłaty z tytułu bezpodstawnego wzbogacenia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współwłasności nieruchomości i uprawnień i obowiązków z tym związanych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zadłużenia na rzecz funduszu gwarantowanych świadczeń pracowniczych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pełnomocnika z urzędu w sprawie cywilnej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cofnięcia roszczenia skierowanego do sądu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zasadności egzekucji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zasad dziedziczenia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prowizji w przypadku pośrednictwa nieruchomości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eksmisji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wypowiedzenia umowy najmu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lastRenderedPageBreak/>
        <w:t>zasad zmiany testamentu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odstąpienia od umowy telekomunikacyjnej</w:t>
      </w:r>
    </w:p>
    <w:p w:rsidR="00A21CDE" w:rsidRPr="00C82580" w:rsidRDefault="00A21CDE" w:rsidP="00A21CDE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szkody za zalanie mieszkania</w:t>
      </w:r>
    </w:p>
    <w:p w:rsidR="00A21CDE" w:rsidRPr="00C82580" w:rsidRDefault="00A21CDE" w:rsidP="00A21CDE">
      <w:pPr>
        <w:pStyle w:val="Akapitzlist"/>
        <w:spacing w:after="0" w:line="360" w:lineRule="auto"/>
        <w:ind w:left="11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15" w:rsidRPr="00C82580" w:rsidRDefault="00BE1015" w:rsidP="00BE1015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Ad 2. Z zakresu prawa karnego i wykroczeniowego:</w:t>
      </w:r>
    </w:p>
    <w:p w:rsidR="00BE1015" w:rsidRPr="00C82580" w:rsidRDefault="00A21CDE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wyłudzenia pieniędzy</w:t>
      </w:r>
      <w:r w:rsidR="00BE1015" w:rsidRPr="00C82580">
        <w:rPr>
          <w:rFonts w:ascii="Times New Roman" w:hAnsi="Times New Roman" w:cs="Times New Roman"/>
          <w:sz w:val="24"/>
          <w:szCs w:val="24"/>
        </w:rPr>
        <w:t>;</w:t>
      </w:r>
    </w:p>
    <w:p w:rsidR="00A21CDE" w:rsidRPr="00C82580" w:rsidRDefault="00A21CDE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skargi na działanie Policji;</w:t>
      </w:r>
    </w:p>
    <w:p w:rsidR="00A21CDE" w:rsidRPr="00C82580" w:rsidRDefault="00A21CDE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przestępstwa nie alimentacji;</w:t>
      </w:r>
    </w:p>
    <w:p w:rsidR="00A21CDE" w:rsidRPr="00C82580" w:rsidRDefault="00A21CDE" w:rsidP="00BE1015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przestępstwa oszustwa</w:t>
      </w:r>
    </w:p>
    <w:p w:rsidR="00BE1015" w:rsidRPr="00C82580" w:rsidRDefault="00BE1015" w:rsidP="005C0422">
      <w:pPr>
        <w:pStyle w:val="Akapitzlist"/>
        <w:spacing w:after="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60C54" w:rsidRPr="00C82580" w:rsidRDefault="00760C54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Ad 3. Z zakresu prawa rodzinnego:</w:t>
      </w:r>
    </w:p>
    <w:p w:rsidR="00D234DC" w:rsidRPr="00C82580" w:rsidRDefault="00A21CDE" w:rsidP="003E57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zawieszeniu władzy rodzicielskiej</w:t>
      </w:r>
    </w:p>
    <w:p w:rsidR="00A21CDE" w:rsidRPr="00C82580" w:rsidRDefault="00A21CDE" w:rsidP="003E57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alimentów</w:t>
      </w:r>
    </w:p>
    <w:p w:rsidR="00A21CDE" w:rsidRPr="00C82580" w:rsidRDefault="00A21CDE" w:rsidP="003E57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odpowiedzi na pozew w sprawie o rozwód</w:t>
      </w:r>
    </w:p>
    <w:p w:rsidR="00A21CDE" w:rsidRPr="00C82580" w:rsidRDefault="00A21CDE" w:rsidP="003E57E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ugody dotyczącej zaległych alimentów</w:t>
      </w:r>
    </w:p>
    <w:p w:rsidR="00D86DDE" w:rsidRPr="00C82580" w:rsidRDefault="00D86DDE" w:rsidP="009812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Pr="00C82580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Ad 4. Z zakresu prawa administracyjnego:</w:t>
      </w:r>
    </w:p>
    <w:p w:rsidR="00F1489B" w:rsidRPr="00C82580" w:rsidRDefault="00A21CDE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gospodarki wodnej na nieruchomości;</w:t>
      </w:r>
    </w:p>
    <w:p w:rsidR="00A21CDE" w:rsidRPr="00C82580" w:rsidRDefault="00A21CDE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prawa do lokalu socjalnego</w:t>
      </w:r>
    </w:p>
    <w:p w:rsidR="00A21CDE" w:rsidRPr="00C82580" w:rsidRDefault="00A21CDE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postępowania dyscyplinarnego wobec pełnomocnika profesjonalnego</w:t>
      </w:r>
    </w:p>
    <w:p w:rsidR="00A21CDE" w:rsidRPr="00C82580" w:rsidRDefault="00A21CDE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zasiłku celowego z opieki społecznej</w:t>
      </w:r>
    </w:p>
    <w:p w:rsidR="009812F3" w:rsidRPr="00C82580" w:rsidRDefault="009812F3" w:rsidP="009812F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86DDE" w:rsidRPr="00C82580" w:rsidRDefault="00D86DDE" w:rsidP="009812F3">
      <w:pPr>
        <w:spacing w:after="0" w:line="36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580">
        <w:rPr>
          <w:rFonts w:ascii="Times New Roman" w:hAnsi="Times New Roman" w:cs="Times New Roman"/>
          <w:b/>
          <w:sz w:val="24"/>
          <w:szCs w:val="24"/>
        </w:rPr>
        <w:t>Ad. 5 Z zakresu prawa pracy i ubezpieczeń społecznych:</w:t>
      </w:r>
      <w:r w:rsidR="00EB6E22" w:rsidRPr="00C825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34DC" w:rsidRPr="00C82580" w:rsidRDefault="00A21CDE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odmowy przyznania prawa do renty;</w:t>
      </w:r>
    </w:p>
    <w:p w:rsidR="00A21CDE" w:rsidRPr="00C82580" w:rsidRDefault="00A21CDE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akcji pracowniczych</w:t>
      </w:r>
    </w:p>
    <w:p w:rsidR="00A21CDE" w:rsidRPr="00C82580" w:rsidRDefault="00A21CDE" w:rsidP="009812F3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uprawnień pracowniczych związanych z odejściem na emeryturę</w:t>
      </w:r>
    </w:p>
    <w:p w:rsidR="00EB6E22" w:rsidRPr="00C82580" w:rsidRDefault="00EB6E22" w:rsidP="004A76F1">
      <w:pPr>
        <w:pStyle w:val="Akapitzlist"/>
        <w:spacing w:after="0" w:line="360" w:lineRule="auto"/>
        <w:ind w:left="964"/>
        <w:jc w:val="both"/>
        <w:rPr>
          <w:rFonts w:ascii="Times New Roman" w:hAnsi="Times New Roman" w:cs="Times New Roman"/>
          <w:sz w:val="24"/>
          <w:szCs w:val="24"/>
        </w:rPr>
      </w:pPr>
    </w:p>
    <w:p w:rsidR="00C82580" w:rsidRPr="00C82580" w:rsidRDefault="00A21CDE" w:rsidP="00C82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W dniu 8 maja 2017 r. Prezydent RP podpisał u</w:t>
      </w:r>
      <w:r w:rsidR="00604020">
        <w:rPr>
          <w:rFonts w:ascii="Times New Roman" w:hAnsi="Times New Roman" w:cs="Times New Roman"/>
          <w:sz w:val="24"/>
          <w:szCs w:val="24"/>
        </w:rPr>
        <w:t>stawę z dnia 23 marca 2017 r. o </w:t>
      </w:r>
      <w:bookmarkStart w:id="0" w:name="_GoBack"/>
      <w:bookmarkEnd w:id="0"/>
      <w:r w:rsidRPr="00C82580">
        <w:rPr>
          <w:rFonts w:ascii="Times New Roman" w:hAnsi="Times New Roman" w:cs="Times New Roman"/>
          <w:sz w:val="24"/>
          <w:szCs w:val="24"/>
        </w:rPr>
        <w:t>zmianie ustawy – Kodeks karny oraz ustawy o pomocy osobom uprawnionym do alimentów</w:t>
      </w:r>
      <w:r w:rsidR="00C82580" w:rsidRPr="00C82580">
        <w:rPr>
          <w:rFonts w:ascii="Times New Roman" w:hAnsi="Times New Roman" w:cs="Times New Roman"/>
          <w:sz w:val="24"/>
          <w:szCs w:val="24"/>
        </w:rPr>
        <w:t xml:space="preserve"> zmieniają treść art. 209 k.k. dotyczącego przestępstwa nie alimentacji. Poprzednio przepis ten brzmiał:</w:t>
      </w:r>
    </w:p>
    <w:p w:rsidR="00C82580" w:rsidRPr="00C82580" w:rsidRDefault="00C82580" w:rsidP="00A21C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7B4" w:rsidRPr="00C82580" w:rsidRDefault="00C82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lastRenderedPageBreak/>
        <w:t>,„Kto</w:t>
      </w:r>
      <w:r w:rsidR="00A21CDE" w:rsidRPr="00C82580">
        <w:rPr>
          <w:rFonts w:ascii="Times New Roman" w:hAnsi="Times New Roman" w:cs="Times New Roman"/>
          <w:sz w:val="24"/>
          <w:szCs w:val="24"/>
        </w:rPr>
        <w:t xml:space="preserve"> uporczywie uchyla się od wykonania ciążącego na nim z mocy ustawy lub orzeczenia sądowego obowiązku opieki przez niełożenie na utrzymanie osoby najbliższej lub innej osoby i przez to naraża ją na </w:t>
      </w:r>
      <w:r w:rsidRPr="00C82580">
        <w:rPr>
          <w:rFonts w:ascii="Times New Roman" w:hAnsi="Times New Roman" w:cs="Times New Roman"/>
          <w:sz w:val="24"/>
          <w:szCs w:val="24"/>
        </w:rPr>
        <w:t>niemożność zaspokojenia</w:t>
      </w:r>
      <w:r w:rsidR="00A21CDE" w:rsidRPr="00C82580">
        <w:rPr>
          <w:rFonts w:ascii="Times New Roman" w:hAnsi="Times New Roman" w:cs="Times New Roman"/>
          <w:sz w:val="24"/>
          <w:szCs w:val="24"/>
        </w:rPr>
        <w:t xml:space="preserve"> podstawowych potrzeb życiowych, podlega grzywnie, karze ograniczenia </w:t>
      </w:r>
      <w:r w:rsidRPr="00C82580">
        <w:rPr>
          <w:rFonts w:ascii="Times New Roman" w:hAnsi="Times New Roman" w:cs="Times New Roman"/>
          <w:sz w:val="24"/>
          <w:szCs w:val="24"/>
        </w:rPr>
        <w:t>wolności albo pozbawienia wolno</w:t>
      </w:r>
      <w:r w:rsidR="00A21CDE" w:rsidRPr="00C82580">
        <w:rPr>
          <w:rFonts w:ascii="Times New Roman" w:hAnsi="Times New Roman" w:cs="Times New Roman"/>
          <w:sz w:val="24"/>
          <w:szCs w:val="24"/>
        </w:rPr>
        <w:t>ści do lat 2.</w:t>
      </w:r>
      <w:r w:rsidRPr="00C82580">
        <w:rPr>
          <w:rFonts w:ascii="Times New Roman" w:hAnsi="Times New Roman" w:cs="Times New Roman"/>
          <w:sz w:val="24"/>
          <w:szCs w:val="24"/>
        </w:rPr>
        <w:t>”</w:t>
      </w:r>
    </w:p>
    <w:p w:rsidR="00A21CDE" w:rsidRPr="00C82580" w:rsidRDefault="00C82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W tym momencie rozszerzono ten artykuł w ten sposób, że: „</w:t>
      </w:r>
      <w:r w:rsidR="00A21CDE" w:rsidRPr="00C82580">
        <w:rPr>
          <w:rFonts w:ascii="Times New Roman" w:hAnsi="Times New Roman" w:cs="Times New Roman"/>
          <w:sz w:val="24"/>
          <w:szCs w:val="24"/>
        </w:rPr>
        <w:t xml:space="preserve">Kto uchyla się od wykonania obowiązku alimentacyjnego </w:t>
      </w:r>
      <w:r w:rsidRPr="00C82580">
        <w:rPr>
          <w:rFonts w:ascii="Times New Roman" w:hAnsi="Times New Roman" w:cs="Times New Roman"/>
          <w:sz w:val="24"/>
          <w:szCs w:val="24"/>
        </w:rPr>
        <w:t>określonego, co</w:t>
      </w:r>
      <w:r w:rsidR="00A21CDE" w:rsidRPr="00C82580">
        <w:rPr>
          <w:rFonts w:ascii="Times New Roman" w:hAnsi="Times New Roman" w:cs="Times New Roman"/>
          <w:sz w:val="24"/>
          <w:szCs w:val="24"/>
        </w:rPr>
        <w:t xml:space="preserve"> do wysokości orzeczeniem sądowym, ugodą zawartą przed sądem albo innym organem albo inną umową, jeżeli łączna wysokość powstałych wskutek tego zaległości stanowi </w:t>
      </w:r>
      <w:r w:rsidRPr="00C82580">
        <w:rPr>
          <w:rFonts w:ascii="Times New Roman" w:hAnsi="Times New Roman" w:cs="Times New Roman"/>
          <w:sz w:val="24"/>
          <w:szCs w:val="24"/>
        </w:rPr>
        <w:t>równowartość, co</w:t>
      </w:r>
      <w:r w:rsidR="00A21CDE" w:rsidRPr="00C82580">
        <w:rPr>
          <w:rFonts w:ascii="Times New Roman" w:hAnsi="Times New Roman" w:cs="Times New Roman"/>
          <w:sz w:val="24"/>
          <w:szCs w:val="24"/>
        </w:rPr>
        <w:t xml:space="preserve"> najmniej 3 świadczeń okresowych </w:t>
      </w:r>
      <w:r w:rsidRPr="00C82580">
        <w:rPr>
          <w:rFonts w:ascii="Times New Roman" w:hAnsi="Times New Roman" w:cs="Times New Roman"/>
          <w:sz w:val="24"/>
          <w:szCs w:val="24"/>
        </w:rPr>
        <w:t>albo, jeżeli</w:t>
      </w:r>
      <w:r w:rsidR="00A21CDE" w:rsidRPr="00C82580">
        <w:rPr>
          <w:rFonts w:ascii="Times New Roman" w:hAnsi="Times New Roman" w:cs="Times New Roman"/>
          <w:sz w:val="24"/>
          <w:szCs w:val="24"/>
        </w:rPr>
        <w:t xml:space="preserve"> opóźnienie zaległego świadczenia innego niż okresowe wynosi co najmniej 3 miesiące, podlega grzywnie, karze ograniczenia wolności albo pozbawienia wolności do roku.</w:t>
      </w:r>
      <w:r w:rsidRPr="00C82580">
        <w:rPr>
          <w:rFonts w:ascii="Times New Roman" w:hAnsi="Times New Roman" w:cs="Times New Roman"/>
          <w:sz w:val="24"/>
          <w:szCs w:val="24"/>
        </w:rPr>
        <w:t xml:space="preserve"> Natomiast, jeżeli</w:t>
      </w:r>
      <w:r w:rsidR="00A21CDE" w:rsidRPr="00C82580">
        <w:rPr>
          <w:rFonts w:ascii="Times New Roman" w:hAnsi="Times New Roman" w:cs="Times New Roman"/>
          <w:sz w:val="24"/>
          <w:szCs w:val="24"/>
        </w:rPr>
        <w:t xml:space="preserve"> sprawca czynu określonego naraża osobę uprawnioną na niemożność zaspokojenia podstawowych potrzeb życiowych, podlega grzywnie, karze ograniczenia wolności albo pozbawienia wolności do lat 2.</w:t>
      </w:r>
    </w:p>
    <w:p w:rsidR="00C82580" w:rsidRPr="00C82580" w:rsidRDefault="00C825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 xml:space="preserve">Celem przedmiotowej zmiany jest wzmocnienie efektywności egzekwowania świadczeń alimentacyjnych oraz eliminacja celowego uchylania się osób zobowiązanych </w:t>
      </w:r>
      <w:r>
        <w:rPr>
          <w:rFonts w:ascii="Times New Roman" w:hAnsi="Times New Roman" w:cs="Times New Roman"/>
          <w:sz w:val="24"/>
          <w:szCs w:val="24"/>
        </w:rPr>
        <w:t>od wypełnienia obowiązku łożenia na osoby uprawnione.</w:t>
      </w:r>
    </w:p>
    <w:p w:rsidR="00052BFE" w:rsidRPr="00C82580" w:rsidRDefault="00052B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580">
        <w:rPr>
          <w:rFonts w:ascii="Times New Roman" w:hAnsi="Times New Roman" w:cs="Times New Roman"/>
          <w:sz w:val="24"/>
          <w:szCs w:val="24"/>
        </w:rPr>
        <w:t>Podsumowując niniejsze sprawozdanie, w miesiącu</w:t>
      </w:r>
      <w:r w:rsidR="00623456" w:rsidRPr="00C82580">
        <w:rPr>
          <w:rFonts w:ascii="Times New Roman" w:hAnsi="Times New Roman" w:cs="Times New Roman"/>
          <w:sz w:val="24"/>
          <w:szCs w:val="24"/>
        </w:rPr>
        <w:t xml:space="preserve"> </w:t>
      </w:r>
      <w:r w:rsidR="00C82580" w:rsidRPr="00C82580">
        <w:rPr>
          <w:rFonts w:ascii="Times New Roman" w:hAnsi="Times New Roman" w:cs="Times New Roman"/>
          <w:sz w:val="24"/>
          <w:szCs w:val="24"/>
        </w:rPr>
        <w:t>wrześniu z uwagi na okres urlopowy odbyło się 28 spotkań</w:t>
      </w:r>
      <w:r w:rsidR="00623456" w:rsidRPr="00C82580">
        <w:rPr>
          <w:rFonts w:ascii="Times New Roman" w:hAnsi="Times New Roman" w:cs="Times New Roman"/>
          <w:sz w:val="24"/>
          <w:szCs w:val="24"/>
        </w:rPr>
        <w:t>.</w:t>
      </w:r>
      <w:r w:rsidR="00C82580" w:rsidRPr="00C82580">
        <w:rPr>
          <w:rFonts w:ascii="Times New Roman" w:hAnsi="Times New Roman" w:cs="Times New Roman"/>
          <w:sz w:val="24"/>
          <w:szCs w:val="24"/>
        </w:rPr>
        <w:t xml:space="preserve"> Z uwagi na zmiany dotyczące kwestii przestępstwa </w:t>
      </w:r>
      <w:r w:rsidR="00C82580">
        <w:rPr>
          <w:rFonts w:ascii="Times New Roman" w:hAnsi="Times New Roman" w:cs="Times New Roman"/>
          <w:sz w:val="24"/>
          <w:szCs w:val="24"/>
        </w:rPr>
        <w:t>niealimentacji,</w:t>
      </w:r>
      <w:r w:rsidR="00C82580" w:rsidRPr="00C82580">
        <w:rPr>
          <w:rFonts w:ascii="Times New Roman" w:hAnsi="Times New Roman" w:cs="Times New Roman"/>
          <w:sz w:val="24"/>
          <w:szCs w:val="24"/>
        </w:rPr>
        <w:t xml:space="preserve"> zaczęły pojawiać się osoby zainteresowane spłaceniem zaległych alimentów, co można uznać, za pozytywny wpływ opisanej wcześniej nowelizacji. </w:t>
      </w:r>
      <w:r w:rsidR="00BE1015" w:rsidRPr="00C825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2BFE" w:rsidRPr="00C82580" w:rsidSect="00EE6B6F">
      <w:pgSz w:w="11906" w:h="16838"/>
      <w:pgMar w:top="1417" w:right="1417" w:bottom="1417" w:left="1417" w:header="708" w:footer="708" w:gutter="0"/>
      <w:pgBorders w:offsetFrom="page">
        <w:left w:val="thinThick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4A" w:rsidRDefault="002B5D4A" w:rsidP="00FE4DF0">
      <w:pPr>
        <w:spacing w:after="0" w:line="240" w:lineRule="auto"/>
      </w:pPr>
      <w:r>
        <w:separator/>
      </w:r>
    </w:p>
  </w:endnote>
  <w:endnote w:type="continuationSeparator" w:id="0">
    <w:p w:rsidR="002B5D4A" w:rsidRDefault="002B5D4A" w:rsidP="00FE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4A" w:rsidRDefault="002B5D4A" w:rsidP="00FE4DF0">
      <w:pPr>
        <w:spacing w:after="0" w:line="240" w:lineRule="auto"/>
      </w:pPr>
      <w:r>
        <w:separator/>
      </w:r>
    </w:p>
  </w:footnote>
  <w:footnote w:type="continuationSeparator" w:id="0">
    <w:p w:rsidR="002B5D4A" w:rsidRDefault="002B5D4A" w:rsidP="00FE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0F50"/>
    <w:multiLevelType w:val="hybridMultilevel"/>
    <w:tmpl w:val="8C5C3D82"/>
    <w:lvl w:ilvl="0" w:tplc="BA8AF8FC">
      <w:start w:val="1"/>
      <w:numFmt w:val="bullet"/>
      <w:lvlText w:val="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>
    <w:nsid w:val="0AB56B8B"/>
    <w:multiLevelType w:val="hybridMultilevel"/>
    <w:tmpl w:val="E848B10E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40E31"/>
    <w:multiLevelType w:val="hybridMultilevel"/>
    <w:tmpl w:val="375A0A28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E1A3A"/>
    <w:multiLevelType w:val="hybridMultilevel"/>
    <w:tmpl w:val="A5B20CAC"/>
    <w:lvl w:ilvl="0" w:tplc="84D09FE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7E7A6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B4CA0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8088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46A22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C0F18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4839C2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C22F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D2BCD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1F6C"/>
    <w:multiLevelType w:val="hybridMultilevel"/>
    <w:tmpl w:val="6CB84D8A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A7EF7"/>
    <w:multiLevelType w:val="multilevel"/>
    <w:tmpl w:val="4344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C6AB9"/>
    <w:multiLevelType w:val="hybridMultilevel"/>
    <w:tmpl w:val="24C02D28"/>
    <w:lvl w:ilvl="0" w:tplc="F41EC0A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83E65"/>
    <w:multiLevelType w:val="hybridMultilevel"/>
    <w:tmpl w:val="E76245E2"/>
    <w:lvl w:ilvl="0" w:tplc="2C2AC43A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616C4"/>
    <w:multiLevelType w:val="hybridMultilevel"/>
    <w:tmpl w:val="47142D04"/>
    <w:lvl w:ilvl="0" w:tplc="BA8AF8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6E663A8"/>
    <w:multiLevelType w:val="hybridMultilevel"/>
    <w:tmpl w:val="FE2C9688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22F5"/>
    <w:multiLevelType w:val="hybridMultilevel"/>
    <w:tmpl w:val="B8202FDA"/>
    <w:lvl w:ilvl="0" w:tplc="BA8AF8FC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9A92656"/>
    <w:multiLevelType w:val="hybridMultilevel"/>
    <w:tmpl w:val="D36C645A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30DB4"/>
    <w:multiLevelType w:val="hybridMultilevel"/>
    <w:tmpl w:val="ADFAC19C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2E89"/>
    <w:multiLevelType w:val="hybridMultilevel"/>
    <w:tmpl w:val="D42AD97E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0691A"/>
    <w:multiLevelType w:val="hybridMultilevel"/>
    <w:tmpl w:val="CFA444E8"/>
    <w:lvl w:ilvl="0" w:tplc="2E721A1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8502FDF"/>
    <w:multiLevelType w:val="hybridMultilevel"/>
    <w:tmpl w:val="599E729C"/>
    <w:lvl w:ilvl="0" w:tplc="BA8AF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573AD9"/>
    <w:multiLevelType w:val="hybridMultilevel"/>
    <w:tmpl w:val="808879B4"/>
    <w:lvl w:ilvl="0" w:tplc="BA8AF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52E70"/>
    <w:multiLevelType w:val="hybridMultilevel"/>
    <w:tmpl w:val="56789C8C"/>
    <w:lvl w:ilvl="0" w:tplc="F8625DC4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1CA5"/>
    <w:multiLevelType w:val="multilevel"/>
    <w:tmpl w:val="3E80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2C068B"/>
    <w:multiLevelType w:val="hybridMultilevel"/>
    <w:tmpl w:val="51FCA9F6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7567A"/>
    <w:multiLevelType w:val="hybridMultilevel"/>
    <w:tmpl w:val="A79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D1150"/>
    <w:multiLevelType w:val="hybridMultilevel"/>
    <w:tmpl w:val="D068BFC2"/>
    <w:lvl w:ilvl="0" w:tplc="BA8AF8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2BE3636"/>
    <w:multiLevelType w:val="hybridMultilevel"/>
    <w:tmpl w:val="AAFE560C"/>
    <w:lvl w:ilvl="0" w:tplc="F232E6F4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7F134A51"/>
    <w:multiLevelType w:val="hybridMultilevel"/>
    <w:tmpl w:val="4DA8AFF6"/>
    <w:lvl w:ilvl="0" w:tplc="2E721A18">
      <w:start w:val="1"/>
      <w:numFmt w:val="bullet"/>
      <w:lvlText w:val=""/>
      <w:lvlJc w:val="left"/>
      <w:pPr>
        <w:ind w:left="9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20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21"/>
  </w:num>
  <w:num w:numId="11">
    <w:abstractNumId w:val="23"/>
  </w:num>
  <w:num w:numId="12">
    <w:abstractNumId w:val="9"/>
  </w:num>
  <w:num w:numId="13">
    <w:abstractNumId w:val="19"/>
  </w:num>
  <w:num w:numId="14">
    <w:abstractNumId w:val="6"/>
  </w:num>
  <w:num w:numId="15">
    <w:abstractNumId w:val="17"/>
  </w:num>
  <w:num w:numId="16">
    <w:abstractNumId w:val="7"/>
  </w:num>
  <w:num w:numId="17">
    <w:abstractNumId w:val="1"/>
  </w:num>
  <w:num w:numId="18">
    <w:abstractNumId w:val="5"/>
  </w:num>
  <w:num w:numId="19">
    <w:abstractNumId w:val="8"/>
  </w:num>
  <w:num w:numId="20">
    <w:abstractNumId w:val="16"/>
  </w:num>
  <w:num w:numId="21">
    <w:abstractNumId w:val="18"/>
  </w:num>
  <w:num w:numId="22">
    <w:abstractNumId w:val="10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6F"/>
    <w:rsid w:val="00052BFE"/>
    <w:rsid w:val="00072FEA"/>
    <w:rsid w:val="000807B4"/>
    <w:rsid w:val="00101F4D"/>
    <w:rsid w:val="00105825"/>
    <w:rsid w:val="00157F44"/>
    <w:rsid w:val="001A1644"/>
    <w:rsid w:val="001E217E"/>
    <w:rsid w:val="00221B3A"/>
    <w:rsid w:val="00227479"/>
    <w:rsid w:val="002731F5"/>
    <w:rsid w:val="002B1936"/>
    <w:rsid w:val="002B5D4A"/>
    <w:rsid w:val="003E57EF"/>
    <w:rsid w:val="004826B4"/>
    <w:rsid w:val="00491C6A"/>
    <w:rsid w:val="004A76F1"/>
    <w:rsid w:val="004D2115"/>
    <w:rsid w:val="004D2B98"/>
    <w:rsid w:val="00527A2C"/>
    <w:rsid w:val="00573E82"/>
    <w:rsid w:val="005872F3"/>
    <w:rsid w:val="005A2EDE"/>
    <w:rsid w:val="005C0422"/>
    <w:rsid w:val="005D234C"/>
    <w:rsid w:val="005F067F"/>
    <w:rsid w:val="00604020"/>
    <w:rsid w:val="00623456"/>
    <w:rsid w:val="006B63B3"/>
    <w:rsid w:val="00750268"/>
    <w:rsid w:val="00760C54"/>
    <w:rsid w:val="00762BE4"/>
    <w:rsid w:val="007740EE"/>
    <w:rsid w:val="00786DF4"/>
    <w:rsid w:val="00802079"/>
    <w:rsid w:val="00857AE6"/>
    <w:rsid w:val="008808B6"/>
    <w:rsid w:val="00897813"/>
    <w:rsid w:val="008D11C6"/>
    <w:rsid w:val="009036A6"/>
    <w:rsid w:val="009104CE"/>
    <w:rsid w:val="0092354D"/>
    <w:rsid w:val="00974CD0"/>
    <w:rsid w:val="009812F3"/>
    <w:rsid w:val="00992712"/>
    <w:rsid w:val="00A21CDE"/>
    <w:rsid w:val="00A566A0"/>
    <w:rsid w:val="00A71854"/>
    <w:rsid w:val="00A77750"/>
    <w:rsid w:val="00AD651E"/>
    <w:rsid w:val="00B125E3"/>
    <w:rsid w:val="00B151B7"/>
    <w:rsid w:val="00BC7ADF"/>
    <w:rsid w:val="00BE093F"/>
    <w:rsid w:val="00BE1015"/>
    <w:rsid w:val="00BF6502"/>
    <w:rsid w:val="00C57CF9"/>
    <w:rsid w:val="00C60006"/>
    <w:rsid w:val="00C61097"/>
    <w:rsid w:val="00C82580"/>
    <w:rsid w:val="00C939DC"/>
    <w:rsid w:val="00CD0457"/>
    <w:rsid w:val="00D234DC"/>
    <w:rsid w:val="00D3594F"/>
    <w:rsid w:val="00D64DAF"/>
    <w:rsid w:val="00D81B19"/>
    <w:rsid w:val="00D86DDE"/>
    <w:rsid w:val="00D900B3"/>
    <w:rsid w:val="00D93B86"/>
    <w:rsid w:val="00DB1D95"/>
    <w:rsid w:val="00DF38C9"/>
    <w:rsid w:val="00E32CB1"/>
    <w:rsid w:val="00E66EE7"/>
    <w:rsid w:val="00E80CB9"/>
    <w:rsid w:val="00EA15F4"/>
    <w:rsid w:val="00EB6E22"/>
    <w:rsid w:val="00EC6D93"/>
    <w:rsid w:val="00EE6B6F"/>
    <w:rsid w:val="00F1489B"/>
    <w:rsid w:val="00F654C7"/>
    <w:rsid w:val="00F93BCF"/>
    <w:rsid w:val="00F9668B"/>
    <w:rsid w:val="00FA05D7"/>
    <w:rsid w:val="00FD627D"/>
    <w:rsid w:val="00FE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6B6F"/>
    <w:pPr>
      <w:ind w:left="720"/>
      <w:contextualSpacing/>
    </w:pPr>
  </w:style>
  <w:style w:type="character" w:customStyle="1" w:styleId="info-list-value-uzasadnienie">
    <w:name w:val="info-list-value-uzasadnienie"/>
    <w:rsid w:val="00FA05D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D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D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DF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3594F"/>
    <w:rPr>
      <w:b/>
      <w:bCs/>
    </w:rPr>
  </w:style>
  <w:style w:type="character" w:styleId="Uwydatnienie">
    <w:name w:val="Emphasis"/>
    <w:basedOn w:val="Domylnaczcionkaakapitu"/>
    <w:uiPriority w:val="20"/>
    <w:qFormat/>
    <w:rsid w:val="00587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15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F8BDB-449F-43EB-AA90-0E1AF319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Poseł</dc:creator>
  <cp:lastModifiedBy>Poseł</cp:lastModifiedBy>
  <cp:revision>2</cp:revision>
  <cp:lastPrinted>2016-07-29T11:39:00Z</cp:lastPrinted>
  <dcterms:created xsi:type="dcterms:W3CDTF">2017-10-02T10:57:00Z</dcterms:created>
  <dcterms:modified xsi:type="dcterms:W3CDTF">2017-10-02T10:57:00Z</dcterms:modified>
</cp:coreProperties>
</file>